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4A7" w:rsidRPr="005145F4" w:rsidRDefault="006944A7" w:rsidP="006944A7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Arial"/>
          <w:b/>
          <w:sz w:val="24"/>
          <w:szCs w:val="24"/>
          <w:lang w:eastAsia="hr-HR"/>
        </w:rPr>
      </w:pPr>
      <w:bookmarkStart w:id="0" w:name="_GoBack"/>
      <w:bookmarkEnd w:id="0"/>
      <w:r w:rsidRPr="005145F4">
        <w:rPr>
          <w:rFonts w:ascii="Century Gothic" w:eastAsia="Times New Roman" w:hAnsi="Century Gothic" w:cs="Arial"/>
          <w:b/>
          <w:sz w:val="24"/>
          <w:szCs w:val="24"/>
          <w:lang w:eastAsia="hr-HR"/>
        </w:rPr>
        <w:t>ISTO d.d. u stečaju</w:t>
      </w:r>
    </w:p>
    <w:p w:rsidR="006944A7" w:rsidRPr="005145F4" w:rsidRDefault="006944A7" w:rsidP="006944A7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Arial"/>
          <w:lang w:eastAsia="hr-HR"/>
        </w:rPr>
      </w:pPr>
      <w:r w:rsidRPr="005145F4">
        <w:rPr>
          <w:rFonts w:ascii="Century Gothic" w:eastAsia="Times New Roman" w:hAnsi="Century Gothic" w:cs="Arial"/>
          <w:lang w:eastAsia="hr-HR"/>
        </w:rPr>
        <w:t>Augusta Šenoe 4-6, Varaždin, OIB: 88502209643, St-529/17</w:t>
      </w:r>
    </w:p>
    <w:p w:rsidR="006944A7" w:rsidRPr="005145F4" w:rsidRDefault="006944A7" w:rsidP="006944A7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Arial"/>
          <w:lang w:eastAsia="hr-HR"/>
        </w:rPr>
      </w:pPr>
      <w:r w:rsidRPr="005145F4">
        <w:rPr>
          <w:rFonts w:ascii="Century Gothic" w:eastAsia="Times New Roman" w:hAnsi="Century Gothic" w:cs="Arial"/>
          <w:lang w:eastAsia="hr-HR"/>
        </w:rPr>
        <w:t>Stečajni upravitelj: Stanko Makar</w:t>
      </w:r>
    </w:p>
    <w:p w:rsidR="006944A7" w:rsidRPr="00C955BC" w:rsidRDefault="006944A7" w:rsidP="006944A7">
      <w:pPr>
        <w:pBdr>
          <w:bottom w:val="double" w:sz="4" w:space="1" w:color="auto"/>
        </w:pBdr>
        <w:spacing w:after="0" w:line="288" w:lineRule="auto"/>
        <w:jc w:val="center"/>
        <w:rPr>
          <w:rFonts w:ascii="Century Gothic" w:eastAsia="Times New Roman" w:hAnsi="Century Gothic" w:cs="Arial"/>
          <w:lang w:eastAsia="hr-HR"/>
        </w:rPr>
      </w:pPr>
      <w:r w:rsidRPr="00C955BC">
        <w:rPr>
          <w:rFonts w:ascii="Century Gothic" w:eastAsia="Times New Roman" w:hAnsi="Century Gothic" w:cs="Arial"/>
          <w:lang w:eastAsia="hr-HR"/>
        </w:rPr>
        <w:t xml:space="preserve">Stečajni sudac: </w:t>
      </w:r>
      <w:r>
        <w:rPr>
          <w:rFonts w:ascii="Century Gothic" w:eastAsia="Times New Roman" w:hAnsi="Century Gothic" w:cs="Arial"/>
          <w:lang w:eastAsia="hr-HR"/>
        </w:rPr>
        <w:t>Iris Hatvalić Nemec</w:t>
      </w:r>
    </w:p>
    <w:p w:rsidR="00BE3E13" w:rsidRPr="004E445B" w:rsidRDefault="00BE3E13" w:rsidP="00BE3E13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Tahoma"/>
          <w:b/>
          <w:kern w:val="3"/>
          <w:sz w:val="24"/>
          <w:szCs w:val="24"/>
          <w:lang w:val="pl-PL" w:eastAsia="zh-CN" w:bidi="hi-IN"/>
        </w:rPr>
      </w:pPr>
    </w:p>
    <w:p w:rsidR="006944A7" w:rsidRPr="0052344A" w:rsidRDefault="006944A7" w:rsidP="006944A7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Tahoma"/>
          <w:kern w:val="3"/>
          <w:lang w:eastAsia="zh-CN" w:bidi="hi-IN"/>
        </w:rPr>
      </w:pPr>
      <w:r w:rsidRPr="0052344A">
        <w:rPr>
          <w:rFonts w:ascii="Century Gothic" w:eastAsia="SimSun" w:hAnsi="Century Gothic" w:cs="Tahoma"/>
          <w:b/>
          <w:kern w:val="3"/>
          <w:lang w:val="pl-PL" w:eastAsia="zh-CN" w:bidi="hi-IN"/>
        </w:rPr>
        <w:t>Nadle</w:t>
      </w:r>
      <w:r w:rsidRPr="0052344A">
        <w:rPr>
          <w:rFonts w:ascii="Century Gothic" w:eastAsia="SimSun" w:hAnsi="Century Gothic" w:cs="Tahoma"/>
          <w:b/>
          <w:kern w:val="3"/>
          <w:lang w:eastAsia="zh-CN" w:bidi="hi-IN"/>
        </w:rPr>
        <w:t>ž</w:t>
      </w:r>
      <w:r w:rsidRPr="0052344A">
        <w:rPr>
          <w:rFonts w:ascii="Century Gothic" w:eastAsia="SimSun" w:hAnsi="Century Gothic" w:cs="Tahoma"/>
          <w:b/>
          <w:kern w:val="3"/>
          <w:lang w:val="pl-PL" w:eastAsia="zh-CN" w:bidi="hi-IN"/>
        </w:rPr>
        <w:t>an trgova</w:t>
      </w:r>
      <w:r w:rsidRPr="0052344A">
        <w:rPr>
          <w:rFonts w:ascii="Century Gothic" w:eastAsia="SimSun" w:hAnsi="Century Gothic" w:cs="Tahoma"/>
          <w:b/>
          <w:kern w:val="3"/>
          <w:lang w:eastAsia="zh-CN" w:bidi="hi-IN"/>
        </w:rPr>
        <w:t>č</w:t>
      </w:r>
      <w:r w:rsidRPr="0052344A">
        <w:rPr>
          <w:rFonts w:ascii="Century Gothic" w:eastAsia="SimSun" w:hAnsi="Century Gothic" w:cs="Tahoma"/>
          <w:b/>
          <w:kern w:val="3"/>
          <w:lang w:val="pl-PL" w:eastAsia="zh-CN" w:bidi="hi-IN"/>
        </w:rPr>
        <w:t>ki sud</w:t>
      </w:r>
      <w:r w:rsidRPr="0052344A">
        <w:rPr>
          <w:rFonts w:ascii="Century Gothic" w:eastAsia="SimSun" w:hAnsi="Century Gothic" w:cs="Tahoma"/>
          <w:kern w:val="3"/>
          <w:lang w:val="pl-PL" w:eastAsia="zh-CN" w:bidi="hi-IN"/>
        </w:rPr>
        <w:t>:</w:t>
      </w:r>
      <w:r w:rsidRPr="0052344A">
        <w:rPr>
          <w:rFonts w:ascii="Century Gothic" w:eastAsia="SimSun" w:hAnsi="Century Gothic" w:cs="Tahoma"/>
          <w:kern w:val="3"/>
          <w:lang w:eastAsia="zh-CN" w:bidi="hi-IN"/>
        </w:rPr>
        <w:tab/>
      </w:r>
      <w:r w:rsidRPr="0052344A">
        <w:rPr>
          <w:rFonts w:ascii="Century Gothic" w:eastAsia="SimSun" w:hAnsi="Century Gothic" w:cs="Tahoma"/>
          <w:b/>
          <w:kern w:val="3"/>
          <w:lang w:eastAsia="zh-CN" w:bidi="hi-IN"/>
        </w:rPr>
        <w:t>Trgovački sud u Varaždinu</w:t>
      </w:r>
    </w:p>
    <w:p w:rsidR="006944A7" w:rsidRPr="0052344A" w:rsidRDefault="006944A7" w:rsidP="006944A7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Tahoma"/>
          <w:kern w:val="3"/>
          <w:lang w:eastAsia="zh-CN" w:bidi="hi-IN"/>
        </w:rPr>
      </w:pPr>
      <w:r w:rsidRPr="0052344A">
        <w:rPr>
          <w:rFonts w:ascii="Century Gothic" w:eastAsia="SimSun" w:hAnsi="Century Gothic" w:cs="Tahoma"/>
          <w:b/>
          <w:kern w:val="3"/>
          <w:lang w:val="pl-PL" w:eastAsia="zh-CN" w:bidi="hi-IN"/>
        </w:rPr>
        <w:t>Poslovni broj spisa</w:t>
      </w:r>
      <w:r w:rsidRPr="0052344A">
        <w:rPr>
          <w:rFonts w:ascii="Century Gothic" w:eastAsia="SimSun" w:hAnsi="Century Gothic" w:cs="Tahoma"/>
          <w:kern w:val="3"/>
          <w:lang w:val="pl-PL" w:eastAsia="zh-CN" w:bidi="hi-IN"/>
        </w:rPr>
        <w:t>:</w:t>
      </w:r>
      <w:r w:rsidRPr="0052344A">
        <w:rPr>
          <w:rFonts w:ascii="Century Gothic" w:eastAsia="SimSun" w:hAnsi="Century Gothic" w:cs="Tahoma"/>
          <w:kern w:val="3"/>
          <w:lang w:val="pl-PL" w:eastAsia="zh-CN" w:bidi="hi-IN"/>
        </w:rPr>
        <w:tab/>
      </w:r>
      <w:r w:rsidRPr="0052344A">
        <w:rPr>
          <w:rFonts w:ascii="Century Gothic" w:eastAsia="SimSun" w:hAnsi="Century Gothic" w:cs="Tahoma"/>
          <w:kern w:val="3"/>
          <w:lang w:val="pl-PL" w:eastAsia="zh-CN" w:bidi="hi-IN"/>
        </w:rPr>
        <w:tab/>
      </w:r>
      <w:r w:rsidRPr="0052344A">
        <w:rPr>
          <w:rFonts w:ascii="Century Gothic" w:eastAsia="SimSun" w:hAnsi="Century Gothic" w:cs="Tahoma"/>
          <w:b/>
          <w:kern w:val="3"/>
          <w:lang w:val="pl-PL" w:eastAsia="zh-CN" w:bidi="hi-IN"/>
        </w:rPr>
        <w:t>St-529/17</w:t>
      </w:r>
    </w:p>
    <w:p w:rsidR="006944A7" w:rsidRPr="0052344A" w:rsidRDefault="006944A7" w:rsidP="006944A7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Tahoma"/>
          <w:b/>
          <w:kern w:val="3"/>
          <w:lang w:val="pl-PL" w:eastAsia="zh-CN" w:bidi="hi-IN"/>
        </w:rPr>
      </w:pPr>
      <w:r w:rsidRPr="0052344A">
        <w:rPr>
          <w:rFonts w:ascii="Century Gothic" w:eastAsia="SimSun" w:hAnsi="Century Gothic" w:cs="Tahoma"/>
          <w:b/>
          <w:kern w:val="3"/>
          <w:lang w:val="pl-PL" w:eastAsia="zh-CN" w:bidi="hi-IN"/>
        </w:rPr>
        <w:t xml:space="preserve">Dužnik: </w:t>
      </w:r>
      <w:r w:rsidRPr="0052344A">
        <w:rPr>
          <w:rFonts w:ascii="Century Gothic" w:eastAsia="SimSun" w:hAnsi="Century Gothic" w:cs="Tahoma"/>
          <w:b/>
          <w:kern w:val="3"/>
          <w:lang w:val="pl-PL" w:eastAsia="zh-CN" w:bidi="hi-IN"/>
        </w:rPr>
        <w:tab/>
      </w:r>
      <w:r w:rsidRPr="0052344A">
        <w:rPr>
          <w:rFonts w:ascii="Century Gothic" w:eastAsia="SimSun" w:hAnsi="Century Gothic" w:cs="Tahoma"/>
          <w:b/>
          <w:kern w:val="3"/>
          <w:lang w:val="pl-PL" w:eastAsia="zh-CN" w:bidi="hi-IN"/>
        </w:rPr>
        <w:tab/>
      </w:r>
      <w:r w:rsidRPr="0052344A">
        <w:rPr>
          <w:rFonts w:ascii="Century Gothic" w:eastAsia="SimSun" w:hAnsi="Century Gothic" w:cs="Tahoma"/>
          <w:b/>
          <w:kern w:val="3"/>
          <w:lang w:val="pl-PL" w:eastAsia="zh-CN" w:bidi="hi-IN"/>
        </w:rPr>
        <w:tab/>
        <w:t>ISTO d.d. u stečaju</w:t>
      </w:r>
    </w:p>
    <w:p w:rsidR="006944A7" w:rsidRPr="0052344A" w:rsidRDefault="006944A7" w:rsidP="006944A7">
      <w:pPr>
        <w:widowControl w:val="0"/>
        <w:suppressAutoHyphens/>
        <w:autoSpaceDN w:val="0"/>
        <w:spacing w:after="0" w:line="288" w:lineRule="auto"/>
        <w:ind w:left="2116" w:firstLine="720"/>
        <w:jc w:val="both"/>
        <w:textAlignment w:val="baseline"/>
        <w:rPr>
          <w:rFonts w:ascii="Century Gothic" w:eastAsia="SimSun" w:hAnsi="Century Gothic" w:cs="Tahoma"/>
          <w:b/>
          <w:kern w:val="3"/>
          <w:lang w:val="pl-PL" w:eastAsia="zh-CN" w:bidi="hi-IN"/>
        </w:rPr>
      </w:pPr>
      <w:r w:rsidRPr="0052344A">
        <w:rPr>
          <w:rFonts w:ascii="Century Gothic" w:eastAsia="SimSun" w:hAnsi="Century Gothic" w:cs="Tahoma"/>
          <w:b/>
          <w:kern w:val="3"/>
          <w:lang w:val="pl-PL" w:eastAsia="zh-CN" w:bidi="hi-IN"/>
        </w:rPr>
        <w:t>Augusta Šenoe 4-6, Varaždin, OIB: 88502209643</w:t>
      </w:r>
    </w:p>
    <w:p w:rsidR="006944A7" w:rsidRPr="00C955BC" w:rsidRDefault="006944A7" w:rsidP="006944A7">
      <w:pPr>
        <w:widowControl w:val="0"/>
        <w:suppressAutoHyphens/>
        <w:autoSpaceDN w:val="0"/>
        <w:spacing w:after="0" w:line="288" w:lineRule="auto"/>
        <w:ind w:left="2124" w:firstLine="708"/>
        <w:jc w:val="both"/>
        <w:textAlignment w:val="baseline"/>
        <w:rPr>
          <w:rFonts w:ascii="Century Gothic" w:eastAsia="SimSun" w:hAnsi="Century Gothic" w:cs="Tahoma"/>
          <w:b/>
          <w:kern w:val="3"/>
          <w:lang w:val="pl-PL" w:eastAsia="zh-CN" w:bidi="hi-IN"/>
        </w:rPr>
      </w:pPr>
    </w:p>
    <w:p w:rsidR="00470C75" w:rsidRDefault="0094060B" w:rsidP="007D2B16">
      <w:pPr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OBAV</w:t>
      </w:r>
      <w:r w:rsidR="00ED21BE">
        <w:rPr>
          <w:rFonts w:ascii="Century Gothic" w:hAnsi="Century Gothic"/>
          <w:b/>
          <w:sz w:val="24"/>
          <w:szCs w:val="24"/>
        </w:rPr>
        <w:t>IJESTI VJEROVNIKA O POSTOJANJU IZLUČNOG</w:t>
      </w:r>
      <w:r>
        <w:rPr>
          <w:rFonts w:ascii="Century Gothic" w:hAnsi="Century Gothic"/>
          <w:b/>
          <w:sz w:val="24"/>
          <w:szCs w:val="24"/>
        </w:rPr>
        <w:t xml:space="preserve"> PRAVA</w:t>
      </w:r>
      <w:r w:rsidR="00470C75">
        <w:rPr>
          <w:rFonts w:ascii="Century Gothic" w:hAnsi="Century Gothic"/>
          <w:b/>
          <w:sz w:val="24"/>
          <w:szCs w:val="24"/>
        </w:rPr>
        <w:t xml:space="preserve"> NA </w:t>
      </w:r>
      <w:r w:rsidR="00ED21BE">
        <w:rPr>
          <w:rFonts w:ascii="Century Gothic" w:hAnsi="Century Gothic"/>
          <w:b/>
          <w:sz w:val="24"/>
          <w:szCs w:val="24"/>
        </w:rPr>
        <w:t>NEKRETNINAMA</w:t>
      </w:r>
    </w:p>
    <w:tbl>
      <w:tblPr>
        <w:tblStyle w:val="Reetkatablice"/>
        <w:tblW w:w="15026" w:type="dxa"/>
        <w:tblLayout w:type="fixed"/>
        <w:tblLook w:val="04A0" w:firstRow="1" w:lastRow="0" w:firstColumn="1" w:lastColumn="0" w:noHBand="0" w:noVBand="1"/>
      </w:tblPr>
      <w:tblGrid>
        <w:gridCol w:w="1018"/>
        <w:gridCol w:w="3236"/>
        <w:gridCol w:w="3969"/>
        <w:gridCol w:w="6803"/>
      </w:tblGrid>
      <w:tr w:rsidR="00470C75" w:rsidRPr="00946A87" w:rsidTr="00E5367B">
        <w:trPr>
          <w:trHeight w:val="680"/>
        </w:trPr>
        <w:tc>
          <w:tcPr>
            <w:tcW w:w="1018" w:type="dxa"/>
            <w:shd w:val="clear" w:color="auto" w:fill="BFBFBF" w:themeFill="background1" w:themeFillShade="BF"/>
            <w:hideMark/>
          </w:tcPr>
          <w:p w:rsidR="00470C75" w:rsidRPr="00946A87" w:rsidRDefault="00470C75" w:rsidP="00946A87">
            <w:pPr>
              <w:spacing w:line="288" w:lineRule="auto"/>
              <w:jc w:val="center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</w:pPr>
            <w:r w:rsidRPr="00946A87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  <w:t>R.br. prijave</w:t>
            </w:r>
          </w:p>
        </w:tc>
        <w:tc>
          <w:tcPr>
            <w:tcW w:w="3236" w:type="dxa"/>
            <w:shd w:val="clear" w:color="auto" w:fill="BFBFBF" w:themeFill="background1" w:themeFillShade="BF"/>
            <w:hideMark/>
          </w:tcPr>
          <w:p w:rsidR="00470C75" w:rsidRPr="00946A87" w:rsidRDefault="00470C75" w:rsidP="00946A87">
            <w:pPr>
              <w:spacing w:line="288" w:lineRule="auto"/>
              <w:jc w:val="center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</w:pPr>
            <w:r w:rsidRPr="00946A87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  <w:t xml:space="preserve">Naziv i adresa vjerovnika </w:t>
            </w:r>
          </w:p>
        </w:tc>
        <w:tc>
          <w:tcPr>
            <w:tcW w:w="3969" w:type="dxa"/>
            <w:shd w:val="clear" w:color="auto" w:fill="BFBFBF" w:themeFill="background1" w:themeFillShade="BF"/>
            <w:hideMark/>
          </w:tcPr>
          <w:p w:rsidR="00470C75" w:rsidRPr="00946A87" w:rsidRDefault="00470C75" w:rsidP="00946A87">
            <w:pPr>
              <w:spacing w:line="288" w:lineRule="auto"/>
              <w:jc w:val="center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</w:pPr>
            <w:r w:rsidRPr="00946A87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  <w:t>Osnov</w:t>
            </w:r>
            <w:r w:rsidRPr="00946A87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  <w:br/>
              <w:t>tražbine</w:t>
            </w:r>
          </w:p>
        </w:tc>
        <w:tc>
          <w:tcPr>
            <w:tcW w:w="6803" w:type="dxa"/>
            <w:shd w:val="clear" w:color="auto" w:fill="BFBFBF" w:themeFill="background1" w:themeFillShade="BF"/>
            <w:noWrap/>
            <w:hideMark/>
          </w:tcPr>
          <w:p w:rsidR="00470C75" w:rsidRPr="00946A87" w:rsidRDefault="00470C75" w:rsidP="00ED21BE">
            <w:pPr>
              <w:spacing w:line="288" w:lineRule="auto"/>
              <w:jc w:val="center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</w:pPr>
            <w:r w:rsidRPr="00946A87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  <w:t xml:space="preserve">Obavijest o </w:t>
            </w:r>
            <w:r w:rsidR="00ED21BE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  <w:t xml:space="preserve">izlučnog </w:t>
            </w:r>
            <w:r w:rsidRPr="00946A87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  <w:t>prav</w:t>
            </w:r>
            <w:r w:rsidR="00ED21BE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  <w:t>a</w:t>
            </w:r>
            <w:r w:rsidRPr="00946A87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  <w:t xml:space="preserve"> </w:t>
            </w:r>
            <w:r w:rsidR="00ED21BE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  <w:t>na nekretninama</w:t>
            </w:r>
          </w:p>
        </w:tc>
      </w:tr>
      <w:tr w:rsidR="00ED21BE" w:rsidRPr="00946A87" w:rsidTr="00E5367B">
        <w:trPr>
          <w:trHeight w:val="1856"/>
        </w:trPr>
        <w:tc>
          <w:tcPr>
            <w:tcW w:w="1018" w:type="dxa"/>
            <w:noWrap/>
            <w:hideMark/>
          </w:tcPr>
          <w:p w:rsidR="00ED21BE" w:rsidRPr="00ED21BE" w:rsidRDefault="00ED21BE" w:rsidP="00ED21B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ED21BE">
              <w:rPr>
                <w:rFonts w:ascii="Century Gothic" w:hAnsi="Century Gothic" w:cs="Arial"/>
                <w:sz w:val="20"/>
                <w:szCs w:val="20"/>
              </w:rPr>
              <w:t>26.</w:t>
            </w:r>
          </w:p>
        </w:tc>
        <w:tc>
          <w:tcPr>
            <w:tcW w:w="3236" w:type="dxa"/>
            <w:hideMark/>
          </w:tcPr>
          <w:p w:rsidR="00ED21BE" w:rsidRPr="00ED21BE" w:rsidRDefault="00ED21BE" w:rsidP="00ED21B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D21BE">
              <w:rPr>
                <w:rFonts w:ascii="Century Gothic" w:hAnsi="Century Gothic" w:cs="Arial"/>
                <w:sz w:val="20"/>
                <w:szCs w:val="20"/>
              </w:rPr>
              <w:t>TILIJA d.o.o., Ulica Ive Robića br. 2, 10000 Zagreb, OIB: 22215055949</w:t>
            </w:r>
          </w:p>
        </w:tc>
        <w:tc>
          <w:tcPr>
            <w:tcW w:w="3969" w:type="dxa"/>
            <w:hideMark/>
          </w:tcPr>
          <w:p w:rsidR="00ED21BE" w:rsidRPr="00ED21BE" w:rsidRDefault="00ED21BE" w:rsidP="00ED21B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D21BE">
              <w:rPr>
                <w:rFonts w:ascii="Century Gothic" w:hAnsi="Century Gothic" w:cs="Arial"/>
                <w:sz w:val="20"/>
                <w:szCs w:val="20"/>
              </w:rPr>
              <w:t>Ugovor o kupoprodaji nekretnina od 13.1.2006. i presuda Općinskog građanskog prava br. P-3570/06 od 8.5.2012. i presuda Županijskog suda u Zagrebu br. Gž-6637/12-3</w:t>
            </w:r>
          </w:p>
        </w:tc>
        <w:tc>
          <w:tcPr>
            <w:tcW w:w="6803" w:type="dxa"/>
            <w:hideMark/>
          </w:tcPr>
          <w:p w:rsidR="00ED21BE" w:rsidRDefault="00ED21BE" w:rsidP="00ED21B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D21BE">
              <w:rPr>
                <w:rFonts w:ascii="Century Gothic" w:hAnsi="Century Gothic" w:cs="Arial"/>
                <w:sz w:val="20"/>
                <w:szCs w:val="20"/>
              </w:rPr>
              <w:t xml:space="preserve">Predmet izlučnog prava: </w:t>
            </w:r>
          </w:p>
          <w:p w:rsidR="00ED21BE" w:rsidRDefault="00ED21BE" w:rsidP="00ED21B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p w:rsidR="00ED21BE" w:rsidRDefault="00ED21BE" w:rsidP="00ED21BE">
            <w:pPr>
              <w:pStyle w:val="Odlomakpopisa"/>
              <w:numPr>
                <w:ilvl w:val="0"/>
                <w:numId w:val="20"/>
              </w:numPr>
              <w:spacing w:line="288" w:lineRule="auto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ED21BE">
              <w:rPr>
                <w:rFonts w:ascii="Century Gothic" w:hAnsi="Century Gothic" w:cs="Arial"/>
                <w:sz w:val="20"/>
                <w:szCs w:val="20"/>
              </w:rPr>
              <w:t>nekretnina oznake k.č. 1007/1, upisanu u zk.ul. 2622 k.o. Blato Novo, površine 23405 m</w:t>
            </w:r>
            <w:r w:rsidRPr="00ED21BE">
              <w:rPr>
                <w:rFonts w:ascii="Calibri" w:hAnsi="Calibri" w:cs="Arial"/>
                <w:sz w:val="20"/>
                <w:szCs w:val="20"/>
              </w:rPr>
              <w:t xml:space="preserve">²                                                       </w:t>
            </w:r>
          </w:p>
          <w:p w:rsidR="00ED21BE" w:rsidRPr="00ED21BE" w:rsidRDefault="00ED21BE" w:rsidP="00ED21BE">
            <w:pPr>
              <w:pStyle w:val="Odlomakpopisa"/>
              <w:spacing w:line="288" w:lineRule="auto"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:rsidR="00ED21BE" w:rsidRPr="00ED21BE" w:rsidRDefault="00ED5583" w:rsidP="00ED21B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D5583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 xml:space="preserve">Napomena stečajnog upravitelja: navedeni dio imovine u </w:t>
            </w:r>
            <w:proofErr w:type="spellStart"/>
            <w:r w:rsidRPr="00ED5583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>zk.izvatku</w:t>
            </w:r>
            <w:proofErr w:type="spellEnd"/>
            <w:r w:rsidRPr="00ED5583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 xml:space="preserve"> upisan u vlasništvo TD  INDUSTROGRADNJA D.D., Savska cesta br. 66, Zagreb, a planom podjele dio navedenih etaža pripao je TD ISTO Grupa d.</w:t>
            </w:r>
          </w:p>
        </w:tc>
      </w:tr>
      <w:tr w:rsidR="00ED21BE" w:rsidRPr="00946A87" w:rsidTr="00ED21BE">
        <w:trPr>
          <w:trHeight w:val="834"/>
        </w:trPr>
        <w:tc>
          <w:tcPr>
            <w:tcW w:w="1018" w:type="dxa"/>
            <w:noWrap/>
          </w:tcPr>
          <w:p w:rsidR="00ED21BE" w:rsidRPr="00ED21BE" w:rsidRDefault="00ED21BE" w:rsidP="00ED21B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ED21BE">
              <w:rPr>
                <w:rFonts w:ascii="Century Gothic" w:hAnsi="Century Gothic" w:cs="Arial"/>
                <w:sz w:val="20"/>
                <w:szCs w:val="20"/>
              </w:rPr>
              <w:t>27.</w:t>
            </w:r>
          </w:p>
        </w:tc>
        <w:tc>
          <w:tcPr>
            <w:tcW w:w="3236" w:type="dxa"/>
          </w:tcPr>
          <w:p w:rsidR="00ED21BE" w:rsidRPr="00ED21BE" w:rsidRDefault="00ED21BE" w:rsidP="00ED21B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D21BE">
              <w:rPr>
                <w:rFonts w:ascii="Century Gothic" w:hAnsi="Century Gothic" w:cs="Arial"/>
                <w:sz w:val="20"/>
                <w:szCs w:val="20"/>
              </w:rPr>
              <w:t>ISTO Grupa d.d., A.Šenoe 4-6, 42000 Varaždin, OIB: 78858201330</w:t>
            </w:r>
          </w:p>
        </w:tc>
        <w:tc>
          <w:tcPr>
            <w:tcW w:w="3969" w:type="dxa"/>
          </w:tcPr>
          <w:p w:rsidR="00ED21BE" w:rsidRPr="00ED21BE" w:rsidRDefault="00ED21BE" w:rsidP="00ED21B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D21BE">
              <w:rPr>
                <w:rFonts w:ascii="Century Gothic" w:hAnsi="Century Gothic" w:cs="Arial"/>
                <w:sz w:val="20"/>
                <w:szCs w:val="20"/>
              </w:rPr>
              <w:t>Sva imovina i prava koja su prešla Planom podjele na vjerovnika ISTO Grupa d.d.</w:t>
            </w:r>
          </w:p>
        </w:tc>
        <w:tc>
          <w:tcPr>
            <w:tcW w:w="6803" w:type="dxa"/>
          </w:tcPr>
          <w:p w:rsidR="00ED21BE" w:rsidRPr="00ED21BE" w:rsidRDefault="00ED21BE" w:rsidP="00ED21B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D21B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ED21BE" w:rsidRPr="00946A87" w:rsidTr="00ED21BE">
        <w:trPr>
          <w:trHeight w:val="1260"/>
        </w:trPr>
        <w:tc>
          <w:tcPr>
            <w:tcW w:w="1018" w:type="dxa"/>
            <w:noWrap/>
          </w:tcPr>
          <w:p w:rsidR="00ED21BE" w:rsidRPr="00ED21BE" w:rsidRDefault="00ED21BE" w:rsidP="00ED21B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ED21BE">
              <w:rPr>
                <w:rFonts w:ascii="Century Gothic" w:hAnsi="Century Gothic" w:cs="Arial"/>
                <w:sz w:val="20"/>
                <w:szCs w:val="20"/>
              </w:rPr>
              <w:lastRenderedPageBreak/>
              <w:t>66.</w:t>
            </w:r>
          </w:p>
        </w:tc>
        <w:tc>
          <w:tcPr>
            <w:tcW w:w="3236" w:type="dxa"/>
          </w:tcPr>
          <w:p w:rsidR="00ED21BE" w:rsidRPr="00ED21BE" w:rsidRDefault="00ED21BE" w:rsidP="00ED21B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D21BE">
              <w:rPr>
                <w:rFonts w:ascii="Century Gothic" w:hAnsi="Century Gothic" w:cs="Arial"/>
                <w:sz w:val="20"/>
                <w:szCs w:val="20"/>
              </w:rPr>
              <w:t>INDUSTROGRADNJA d.d. Varaždin, Augusta Šenoe 4-6, 42000 Varaždin, OIB: 03714155365</w:t>
            </w:r>
          </w:p>
        </w:tc>
        <w:tc>
          <w:tcPr>
            <w:tcW w:w="3969" w:type="dxa"/>
          </w:tcPr>
          <w:p w:rsidR="00ED21BE" w:rsidRPr="00ED21BE" w:rsidRDefault="00ED21BE" w:rsidP="00ED21B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D21BE">
              <w:rPr>
                <w:rFonts w:ascii="Century Gothic" w:hAnsi="Century Gothic" w:cs="Arial"/>
                <w:sz w:val="20"/>
                <w:szCs w:val="20"/>
              </w:rPr>
              <w:t xml:space="preserve">Sva imovina i prava koja su prešla Planom podjele na vjerovnika </w:t>
            </w:r>
            <w:r>
              <w:rPr>
                <w:rFonts w:ascii="Century Gothic" w:hAnsi="Century Gothic" w:cs="Arial"/>
                <w:sz w:val="20"/>
                <w:szCs w:val="20"/>
              </w:rPr>
              <w:t>I</w:t>
            </w:r>
            <w:r w:rsidRPr="00ED21BE">
              <w:rPr>
                <w:rFonts w:ascii="Century Gothic" w:hAnsi="Century Gothic" w:cs="Arial"/>
                <w:sz w:val="20"/>
                <w:szCs w:val="20"/>
              </w:rPr>
              <w:t>ndustrogradnja d.d. Varaždin</w:t>
            </w:r>
          </w:p>
        </w:tc>
        <w:tc>
          <w:tcPr>
            <w:tcW w:w="6803" w:type="dxa"/>
          </w:tcPr>
          <w:p w:rsidR="00ED21BE" w:rsidRPr="00ED21BE" w:rsidRDefault="00ED21BE" w:rsidP="00ED21B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D21BE">
              <w:rPr>
                <w:rFonts w:ascii="Century Gothic" w:hAnsi="Century Gothic" w:cs="Arial"/>
                <w:sz w:val="20"/>
                <w:szCs w:val="20"/>
              </w:rPr>
              <w:t> </w:t>
            </w:r>
          </w:p>
        </w:tc>
      </w:tr>
      <w:tr w:rsidR="00ED21BE" w:rsidRPr="00946A87" w:rsidTr="00483736">
        <w:trPr>
          <w:trHeight w:val="977"/>
        </w:trPr>
        <w:tc>
          <w:tcPr>
            <w:tcW w:w="1018" w:type="dxa"/>
            <w:noWrap/>
          </w:tcPr>
          <w:p w:rsidR="00ED21BE" w:rsidRPr="00ED21BE" w:rsidRDefault="00ED21BE" w:rsidP="00ED21B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ED21BE">
              <w:rPr>
                <w:rFonts w:ascii="Century Gothic" w:hAnsi="Century Gothic" w:cs="Arial"/>
                <w:sz w:val="20"/>
                <w:szCs w:val="20"/>
              </w:rPr>
              <w:t>67.</w:t>
            </w:r>
          </w:p>
        </w:tc>
        <w:tc>
          <w:tcPr>
            <w:tcW w:w="3236" w:type="dxa"/>
          </w:tcPr>
          <w:p w:rsidR="00ED21BE" w:rsidRPr="00ED21BE" w:rsidRDefault="00ED21BE" w:rsidP="00ED21B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D21BE">
              <w:rPr>
                <w:rFonts w:ascii="Century Gothic" w:hAnsi="Century Gothic" w:cs="Arial"/>
                <w:sz w:val="20"/>
                <w:szCs w:val="20"/>
              </w:rPr>
              <w:t xml:space="preserve"> MIKULANDRIĆ ROBERT iz Vugrovca Gornjeg, Grljakova 28, OIB:48580707663, MIKULANDRIĆ TOMISLAV iz Vugrovca Gornjeg, Grljakova 28, OIB: 97069079982</w:t>
            </w:r>
          </w:p>
        </w:tc>
        <w:tc>
          <w:tcPr>
            <w:tcW w:w="3969" w:type="dxa"/>
          </w:tcPr>
          <w:p w:rsidR="00ED21BE" w:rsidRPr="00ED21BE" w:rsidRDefault="00ED21BE" w:rsidP="00ED21B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D21BE">
              <w:rPr>
                <w:rFonts w:ascii="Century Gothic" w:hAnsi="Century Gothic" w:cs="Arial"/>
                <w:sz w:val="20"/>
                <w:szCs w:val="20"/>
              </w:rPr>
              <w:t xml:space="preserve">Vjerovnici su od pravnog </w:t>
            </w:r>
            <w:r>
              <w:rPr>
                <w:rFonts w:ascii="Century Gothic" w:hAnsi="Century Gothic" w:cs="Arial"/>
                <w:sz w:val="20"/>
                <w:szCs w:val="20"/>
              </w:rPr>
              <w:t>p</w:t>
            </w:r>
            <w:r w:rsidRPr="00ED21BE">
              <w:rPr>
                <w:rFonts w:ascii="Century Gothic" w:hAnsi="Century Gothic" w:cs="Arial"/>
                <w:sz w:val="20"/>
                <w:szCs w:val="20"/>
              </w:rPr>
              <w:t>rednika kupili nekretninu koja nije uknjižena na ime podnositelja obavijesti o postojanju izlučnog prava</w:t>
            </w:r>
          </w:p>
        </w:tc>
        <w:tc>
          <w:tcPr>
            <w:tcW w:w="6803" w:type="dxa"/>
          </w:tcPr>
          <w:p w:rsidR="00ED21BE" w:rsidRDefault="00ED21BE" w:rsidP="00ED21B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D21BE">
              <w:rPr>
                <w:rFonts w:ascii="Century Gothic" w:hAnsi="Century Gothic" w:cs="Arial"/>
                <w:sz w:val="20"/>
                <w:szCs w:val="20"/>
              </w:rPr>
              <w:t xml:space="preserve">Predmet izlučnog prava:  99/10000 dijela nekretnine koju predstavlja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kč.br. </w:t>
            </w:r>
            <w:r w:rsidRPr="00ED21BE">
              <w:rPr>
                <w:rFonts w:ascii="Century Gothic" w:hAnsi="Century Gothic" w:cs="Arial"/>
                <w:sz w:val="20"/>
                <w:szCs w:val="20"/>
              </w:rPr>
              <w:t>3039/15 k.o. Granešina, stambeno-poslovna zgrada br. 116 i 118 Dubrava sa 1532 m² i dvorište sa 2557 m² površine 4089 m² i to:</w:t>
            </w:r>
          </w:p>
          <w:p w:rsidR="00ED21BE" w:rsidRDefault="00ED21BE" w:rsidP="00ED21B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p w:rsidR="00ED21BE" w:rsidRDefault="00ED21BE" w:rsidP="00ED21BE">
            <w:pPr>
              <w:pStyle w:val="Odlomakpopisa"/>
              <w:numPr>
                <w:ilvl w:val="0"/>
                <w:numId w:val="22"/>
              </w:num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D21BE">
              <w:rPr>
                <w:rFonts w:ascii="Century Gothic" w:hAnsi="Century Gothic" w:cs="Arial"/>
                <w:sz w:val="20"/>
                <w:szCs w:val="20"/>
              </w:rPr>
              <w:t>trosobni stan na četvrtom katu zgrade površine 67,73 m</w:t>
            </w:r>
            <w:r>
              <w:rPr>
                <w:rFonts w:ascii="Century Gothic" w:hAnsi="Century Gothic" w:cs="Arial"/>
                <w:sz w:val="20"/>
                <w:szCs w:val="20"/>
              </w:rPr>
              <w:t>²</w:t>
            </w:r>
            <w:r w:rsidRPr="00ED21BE">
              <w:rPr>
                <w:rFonts w:ascii="Century Gothic" w:hAnsi="Century Gothic" w:cs="Arial"/>
                <w:sz w:val="20"/>
                <w:szCs w:val="20"/>
              </w:rPr>
              <w:t xml:space="preserve"> s pripadajućim spremištem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u podrumu zgrade površine 1,38 </w:t>
            </w:r>
            <w:r w:rsidRPr="00ED21BE">
              <w:rPr>
                <w:rFonts w:ascii="Century Gothic" w:hAnsi="Century Gothic" w:cs="Arial"/>
                <w:sz w:val="20"/>
                <w:szCs w:val="20"/>
              </w:rPr>
              <w:t>m</w:t>
            </w:r>
            <w:r>
              <w:rPr>
                <w:rFonts w:ascii="Century Gothic" w:hAnsi="Century Gothic" w:cs="Arial"/>
                <w:sz w:val="20"/>
                <w:szCs w:val="20"/>
              </w:rPr>
              <w:t>²</w:t>
            </w:r>
            <w:r w:rsidRPr="00ED21BE">
              <w:rPr>
                <w:rFonts w:ascii="Century Gothic" w:hAnsi="Century Gothic" w:cs="Arial"/>
                <w:sz w:val="20"/>
                <w:szCs w:val="20"/>
              </w:rPr>
              <w:t xml:space="preserve"> u etažnom elaboratu označeno brojem 103, upisano kao etaža E-103, redni broj 103</w:t>
            </w:r>
          </w:p>
          <w:p w:rsidR="00ED21BE" w:rsidRPr="00ED21BE" w:rsidRDefault="00ED21BE" w:rsidP="00ED21BE">
            <w:pPr>
              <w:pStyle w:val="Odlomakpopisa"/>
              <w:spacing w:line="288" w:lineRule="auto"/>
              <w:ind w:left="141" w:firstLine="579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D21BE">
              <w:rPr>
                <w:rFonts w:ascii="Century Gothic" w:hAnsi="Century Gothic" w:cs="Arial"/>
                <w:sz w:val="20"/>
                <w:szCs w:val="20"/>
              </w:rPr>
              <w:t xml:space="preserve">                                                                               </w:t>
            </w:r>
            <w:r w:rsidR="00ED5583">
              <w:rPr>
                <w:rFonts w:ascii="Century Gothic" w:hAnsi="Century Gothic" w:cs="Arial"/>
                <w:sz w:val="20"/>
                <w:szCs w:val="20"/>
              </w:rPr>
              <w:t xml:space="preserve">                             </w:t>
            </w:r>
            <w:r w:rsidRPr="00ED21BE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 xml:space="preserve">Napomena stečajnog upravitelja: navedeni dio imovine u zk.izvatku upisan u vlasništvo TD  INDUSTROGRADNJA D.D., Savska cesta br. 66, Zagreb </w:t>
            </w:r>
          </w:p>
        </w:tc>
      </w:tr>
      <w:tr w:rsidR="00ED21BE" w:rsidRPr="00946A87" w:rsidTr="00ED21BE">
        <w:trPr>
          <w:trHeight w:val="410"/>
        </w:trPr>
        <w:tc>
          <w:tcPr>
            <w:tcW w:w="1018" w:type="dxa"/>
            <w:noWrap/>
          </w:tcPr>
          <w:p w:rsidR="00ED21BE" w:rsidRPr="00ED21BE" w:rsidRDefault="00ED21BE" w:rsidP="00ED21BE">
            <w:pPr>
              <w:spacing w:line="288" w:lineRule="auto"/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 w:rsidRPr="00ED21BE">
              <w:rPr>
                <w:rFonts w:ascii="Century Gothic" w:hAnsi="Century Gothic" w:cs="Arial"/>
                <w:sz w:val="20"/>
                <w:szCs w:val="20"/>
              </w:rPr>
              <w:t>68.</w:t>
            </w:r>
          </w:p>
        </w:tc>
        <w:tc>
          <w:tcPr>
            <w:tcW w:w="3236" w:type="dxa"/>
          </w:tcPr>
          <w:p w:rsidR="00ED21BE" w:rsidRPr="00ED21BE" w:rsidRDefault="00ED21BE" w:rsidP="00ED21B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D21BE">
              <w:rPr>
                <w:rFonts w:ascii="Century Gothic" w:hAnsi="Century Gothic" w:cs="Arial"/>
                <w:sz w:val="20"/>
                <w:szCs w:val="20"/>
              </w:rPr>
              <w:t>GE-PE d.o.o., Pantovčak 143/a, 10000 Zagreb, OIB: 05416652903</w:t>
            </w:r>
          </w:p>
        </w:tc>
        <w:tc>
          <w:tcPr>
            <w:tcW w:w="3969" w:type="dxa"/>
          </w:tcPr>
          <w:p w:rsidR="00ED21BE" w:rsidRPr="00ED21BE" w:rsidRDefault="00ED21BE" w:rsidP="00ED21B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D21BE">
              <w:rPr>
                <w:rFonts w:ascii="Century Gothic" w:hAnsi="Century Gothic" w:cs="Arial"/>
                <w:sz w:val="20"/>
                <w:szCs w:val="20"/>
              </w:rPr>
              <w:t xml:space="preserve">Predugovor o kupoprodaji nekretnina </w:t>
            </w:r>
            <w:r>
              <w:rPr>
                <w:rFonts w:ascii="Century Gothic" w:hAnsi="Century Gothic" w:cs="Arial"/>
                <w:sz w:val="20"/>
                <w:szCs w:val="20"/>
              </w:rPr>
              <w:t>b</w:t>
            </w:r>
            <w:r w:rsidRPr="00ED21BE">
              <w:rPr>
                <w:rFonts w:ascii="Century Gothic" w:hAnsi="Century Gothic" w:cs="Arial"/>
                <w:sz w:val="20"/>
                <w:szCs w:val="20"/>
              </w:rPr>
              <w:t>roj 2009/85/1 od 10.12.2009. i pravomoćne presude Trgovačkog suda u Zagrebu broj P-4154/12 od 18.2.2014.</w:t>
            </w:r>
          </w:p>
        </w:tc>
        <w:tc>
          <w:tcPr>
            <w:tcW w:w="6803" w:type="dxa"/>
          </w:tcPr>
          <w:p w:rsidR="00ED21BE" w:rsidRDefault="00ED21BE" w:rsidP="00ED21BE">
            <w:p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D21BE">
              <w:rPr>
                <w:rFonts w:ascii="Century Gothic" w:hAnsi="Century Gothic" w:cs="Arial"/>
                <w:sz w:val="20"/>
                <w:szCs w:val="20"/>
              </w:rPr>
              <w:t>Predmet izlučnog prava:</w:t>
            </w:r>
          </w:p>
          <w:p w:rsidR="00ED21BE" w:rsidRPr="00ED21BE" w:rsidRDefault="00ED21BE" w:rsidP="00ED21BE">
            <w:pPr>
              <w:pStyle w:val="Odlomakpopisa"/>
              <w:numPr>
                <w:ilvl w:val="0"/>
                <w:numId w:val="22"/>
              </w:num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D21BE">
              <w:rPr>
                <w:rFonts w:ascii="Century Gothic" w:hAnsi="Century Gothic" w:cs="Arial"/>
                <w:sz w:val="20"/>
                <w:szCs w:val="20"/>
              </w:rPr>
              <w:t>16 etaža 72/10000 - stan broj 16 - dvosobni stambeni prostor u 3. katu zgrade, neto površine 49,20 m</w:t>
            </w:r>
            <w:r>
              <w:rPr>
                <w:rFonts w:ascii="Century Gothic" w:hAnsi="Century Gothic" w:cs="Arial"/>
                <w:sz w:val="20"/>
                <w:szCs w:val="20"/>
              </w:rPr>
              <w:t>²</w:t>
            </w:r>
            <w:r w:rsidRPr="00ED21BE">
              <w:rPr>
                <w:rFonts w:ascii="Century Gothic" w:hAnsi="Century Gothic" w:cs="Arial"/>
                <w:sz w:val="20"/>
                <w:szCs w:val="20"/>
              </w:rPr>
              <w:t>, spremište broj 16 u podrumu od 2,73 m</w:t>
            </w:r>
            <w:r>
              <w:rPr>
                <w:rFonts w:ascii="Century Gothic" w:hAnsi="Century Gothic" w:cs="Arial"/>
                <w:sz w:val="20"/>
                <w:szCs w:val="20"/>
              </w:rPr>
              <w:t>²</w:t>
            </w:r>
            <w:r w:rsidRPr="00ED21BE">
              <w:rPr>
                <w:rFonts w:ascii="Century Gothic" w:hAnsi="Century Gothic" w:cs="Arial"/>
                <w:sz w:val="20"/>
                <w:szCs w:val="20"/>
              </w:rPr>
              <w:t>, ukupne površine 50,56 m</w:t>
            </w:r>
            <w:r>
              <w:rPr>
                <w:rFonts w:ascii="Century Gothic" w:hAnsi="Century Gothic" w:cs="Arial"/>
                <w:sz w:val="20"/>
                <w:szCs w:val="20"/>
              </w:rPr>
              <w:t>²</w:t>
            </w:r>
            <w:r w:rsidRPr="00ED21BE">
              <w:rPr>
                <w:rFonts w:ascii="Century Gothic" w:hAnsi="Century Gothic" w:cs="Arial"/>
                <w:sz w:val="20"/>
                <w:szCs w:val="20"/>
              </w:rPr>
              <w:t xml:space="preserve"> - ulaz 1-Zagrebačka cesta 76 a, k.č.br. 6943/1 k.o. Vrapče Novo,</w:t>
            </w:r>
          </w:p>
          <w:p w:rsidR="00ED21BE" w:rsidRDefault="00ED21BE" w:rsidP="00ED21BE">
            <w:pPr>
              <w:pStyle w:val="Odlomakpopisa"/>
              <w:numPr>
                <w:ilvl w:val="0"/>
                <w:numId w:val="22"/>
              </w:numPr>
              <w:spacing w:line="288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D21BE">
              <w:rPr>
                <w:rFonts w:ascii="Century Gothic" w:hAnsi="Century Gothic" w:cs="Arial"/>
                <w:sz w:val="20"/>
                <w:szCs w:val="20"/>
              </w:rPr>
              <w:t>37 etaža 19/10000 - garaža oznake G13 u podrumu zgrade površine 13,23 m</w:t>
            </w:r>
            <w:r>
              <w:rPr>
                <w:rFonts w:ascii="Century Gothic" w:hAnsi="Century Gothic" w:cs="Arial"/>
                <w:sz w:val="20"/>
                <w:szCs w:val="20"/>
              </w:rPr>
              <w:t>²</w:t>
            </w:r>
            <w:r w:rsidRPr="00ED21BE">
              <w:rPr>
                <w:rFonts w:ascii="Century Gothic" w:hAnsi="Century Gothic" w:cs="Arial"/>
                <w:sz w:val="20"/>
                <w:szCs w:val="20"/>
              </w:rPr>
              <w:t>, Zagrebačka cesta 76 a, k.č.br. 6943/1 k.o. Vrapče Novo</w:t>
            </w:r>
          </w:p>
          <w:p w:rsidR="00ED21BE" w:rsidRPr="00ED21BE" w:rsidRDefault="00ED21BE" w:rsidP="00ED21BE">
            <w:pPr>
              <w:pStyle w:val="Odlomakpopisa"/>
              <w:spacing w:line="288" w:lineRule="auto"/>
              <w:ind w:left="141" w:firstLine="579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ED21BE">
              <w:rPr>
                <w:rFonts w:ascii="Century Gothic" w:hAnsi="Century Gothic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ED21BE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t xml:space="preserve">Napomena stečajnog upravitelja: navedeni dio imovine u zk.izvatku upisan u vlasništvo TD  I GRUPA D.D., OIB: 16008276353, SAVSKA C. BR. 66, ZAGREB, koje je društvo pripojeno TD KAŠTANJER ISTRA d.o.o. za usluge, kojem društvu je stečajni dužnik </w:t>
            </w:r>
            <w:r w:rsidRPr="00ED21BE">
              <w:rPr>
                <w:rFonts w:ascii="Century Gothic" w:hAnsi="Century Gothic" w:cs="Arial"/>
                <w:b/>
                <w:bCs/>
                <w:i/>
                <w:iCs/>
                <w:sz w:val="20"/>
                <w:szCs w:val="20"/>
              </w:rPr>
              <w:lastRenderedPageBreak/>
              <w:t xml:space="preserve">osnivač </w:t>
            </w:r>
          </w:p>
        </w:tc>
      </w:tr>
    </w:tbl>
    <w:p w:rsidR="00946A87" w:rsidRDefault="00946A87" w:rsidP="00946A87">
      <w:pPr>
        <w:rPr>
          <w:rFonts w:ascii="Century Gothic" w:hAnsi="Century Gothic"/>
        </w:rPr>
      </w:pPr>
    </w:p>
    <w:p w:rsidR="00946A87" w:rsidRPr="00310B0D" w:rsidRDefault="00946A87" w:rsidP="00946A87">
      <w:pPr>
        <w:rPr>
          <w:rFonts w:ascii="Century Gothic" w:hAnsi="Century Gothic"/>
          <w:b/>
        </w:rPr>
      </w:pPr>
      <w:r w:rsidRPr="00310B0D">
        <w:rPr>
          <w:rFonts w:ascii="Century Gothic" w:hAnsi="Century Gothic"/>
          <w:b/>
        </w:rPr>
        <w:t>Varaždin, 4.4.2018.</w:t>
      </w:r>
      <w:r w:rsidRPr="00310B0D">
        <w:rPr>
          <w:rFonts w:ascii="Century Gothic" w:hAnsi="Century Gothic"/>
          <w:b/>
        </w:rPr>
        <w:tab/>
      </w:r>
      <w:r w:rsidRPr="00310B0D">
        <w:rPr>
          <w:rFonts w:ascii="Century Gothic" w:hAnsi="Century Gothic"/>
          <w:b/>
        </w:rPr>
        <w:tab/>
      </w:r>
      <w:r w:rsidRPr="00310B0D">
        <w:rPr>
          <w:rFonts w:ascii="Century Gothic" w:hAnsi="Century Gothic"/>
          <w:b/>
        </w:rPr>
        <w:tab/>
      </w:r>
      <w:r w:rsidRPr="00310B0D">
        <w:rPr>
          <w:rFonts w:ascii="Century Gothic" w:hAnsi="Century Gothic"/>
          <w:b/>
        </w:rPr>
        <w:tab/>
      </w:r>
      <w:r w:rsidRPr="00310B0D">
        <w:rPr>
          <w:rFonts w:ascii="Century Gothic" w:hAnsi="Century Gothic"/>
          <w:b/>
        </w:rPr>
        <w:tab/>
      </w:r>
      <w:r w:rsidRPr="00310B0D">
        <w:rPr>
          <w:rFonts w:ascii="Century Gothic" w:hAnsi="Century Gothic"/>
          <w:b/>
        </w:rPr>
        <w:tab/>
      </w:r>
      <w:r w:rsidRPr="00310B0D">
        <w:rPr>
          <w:rFonts w:ascii="Century Gothic" w:hAnsi="Century Gothic"/>
          <w:b/>
        </w:rPr>
        <w:tab/>
      </w:r>
    </w:p>
    <w:p w:rsidR="00946A87" w:rsidRPr="00310B0D" w:rsidRDefault="00946A87" w:rsidP="00946A87">
      <w:pPr>
        <w:spacing w:after="0" w:line="288" w:lineRule="auto"/>
        <w:rPr>
          <w:rFonts w:ascii="Century Gothic" w:hAnsi="Century Gothic"/>
          <w:b/>
        </w:rPr>
      </w:pPr>
      <w:r w:rsidRPr="00310B0D">
        <w:rPr>
          <w:rFonts w:ascii="Century Gothic" w:hAnsi="Century Gothic"/>
          <w:b/>
        </w:rPr>
        <w:tab/>
      </w:r>
      <w:r w:rsidRPr="00310B0D">
        <w:rPr>
          <w:rFonts w:ascii="Century Gothic" w:hAnsi="Century Gothic"/>
          <w:b/>
        </w:rPr>
        <w:tab/>
      </w:r>
      <w:r w:rsidRPr="00310B0D">
        <w:rPr>
          <w:rFonts w:ascii="Century Gothic" w:hAnsi="Century Gothic"/>
          <w:b/>
        </w:rPr>
        <w:tab/>
      </w:r>
      <w:r w:rsidRPr="00310B0D">
        <w:rPr>
          <w:rFonts w:ascii="Century Gothic" w:hAnsi="Century Gothic"/>
          <w:b/>
        </w:rPr>
        <w:tab/>
      </w:r>
      <w:r w:rsidRPr="00310B0D">
        <w:rPr>
          <w:rFonts w:ascii="Century Gothic" w:hAnsi="Century Gothic"/>
          <w:b/>
        </w:rPr>
        <w:tab/>
      </w:r>
      <w:r w:rsidRPr="00310B0D">
        <w:rPr>
          <w:rFonts w:ascii="Century Gothic" w:hAnsi="Century Gothic"/>
          <w:b/>
        </w:rPr>
        <w:tab/>
      </w:r>
      <w:r w:rsidRPr="00310B0D">
        <w:rPr>
          <w:rFonts w:ascii="Century Gothic" w:hAnsi="Century Gothic"/>
          <w:b/>
        </w:rPr>
        <w:tab/>
      </w:r>
      <w:r w:rsidRPr="00310B0D">
        <w:rPr>
          <w:rFonts w:ascii="Century Gothic" w:hAnsi="Century Gothic"/>
          <w:b/>
        </w:rPr>
        <w:tab/>
      </w:r>
      <w:r w:rsidRPr="00310B0D">
        <w:rPr>
          <w:rFonts w:ascii="Century Gothic" w:hAnsi="Century Gothic"/>
          <w:b/>
        </w:rPr>
        <w:tab/>
      </w:r>
      <w:r w:rsidRPr="00310B0D">
        <w:rPr>
          <w:rFonts w:ascii="Century Gothic" w:hAnsi="Century Gothic"/>
          <w:b/>
        </w:rPr>
        <w:tab/>
      </w:r>
      <w:r w:rsidRPr="00310B0D">
        <w:rPr>
          <w:rFonts w:ascii="Century Gothic" w:hAnsi="Century Gothic"/>
          <w:b/>
        </w:rPr>
        <w:tab/>
      </w:r>
      <w:r w:rsidRPr="00310B0D">
        <w:rPr>
          <w:rFonts w:ascii="Century Gothic" w:hAnsi="Century Gothic"/>
          <w:b/>
        </w:rPr>
        <w:tab/>
      </w:r>
      <w:r w:rsidRPr="00310B0D">
        <w:rPr>
          <w:rFonts w:ascii="Century Gothic" w:hAnsi="Century Gothic"/>
          <w:b/>
        </w:rPr>
        <w:tab/>
      </w:r>
      <w:r w:rsidRPr="00310B0D">
        <w:rPr>
          <w:rFonts w:ascii="Century Gothic" w:hAnsi="Century Gothic"/>
          <w:b/>
        </w:rPr>
        <w:tab/>
        <w:t>Za TD ISTO  d.d. u stečaju</w:t>
      </w:r>
    </w:p>
    <w:p w:rsidR="00946A87" w:rsidRPr="00310B0D" w:rsidRDefault="00946A87" w:rsidP="00946A87">
      <w:pPr>
        <w:spacing w:after="0" w:line="288" w:lineRule="auto"/>
        <w:rPr>
          <w:rFonts w:ascii="Century Gothic" w:hAnsi="Century Gothic"/>
          <w:b/>
        </w:rPr>
      </w:pPr>
      <w:r w:rsidRPr="00310B0D">
        <w:rPr>
          <w:rFonts w:ascii="Century Gothic" w:hAnsi="Century Gothic"/>
          <w:b/>
        </w:rPr>
        <w:tab/>
      </w:r>
      <w:r w:rsidRPr="00310B0D">
        <w:rPr>
          <w:rFonts w:ascii="Century Gothic" w:hAnsi="Century Gothic"/>
          <w:b/>
        </w:rPr>
        <w:tab/>
      </w:r>
      <w:r w:rsidRPr="00310B0D">
        <w:rPr>
          <w:rFonts w:ascii="Century Gothic" w:hAnsi="Century Gothic"/>
          <w:b/>
        </w:rPr>
        <w:tab/>
      </w:r>
      <w:r w:rsidRPr="00310B0D">
        <w:rPr>
          <w:rFonts w:ascii="Century Gothic" w:hAnsi="Century Gothic"/>
          <w:b/>
        </w:rPr>
        <w:tab/>
      </w:r>
      <w:r w:rsidRPr="00310B0D">
        <w:rPr>
          <w:rFonts w:ascii="Century Gothic" w:hAnsi="Century Gothic"/>
          <w:b/>
        </w:rPr>
        <w:tab/>
      </w:r>
      <w:r w:rsidRPr="00310B0D">
        <w:rPr>
          <w:rFonts w:ascii="Century Gothic" w:hAnsi="Century Gothic"/>
          <w:b/>
        </w:rPr>
        <w:tab/>
      </w:r>
      <w:r w:rsidRPr="00310B0D">
        <w:rPr>
          <w:rFonts w:ascii="Century Gothic" w:hAnsi="Century Gothic"/>
          <w:b/>
        </w:rPr>
        <w:tab/>
      </w:r>
      <w:r w:rsidRPr="00310B0D">
        <w:rPr>
          <w:rFonts w:ascii="Century Gothic" w:hAnsi="Century Gothic"/>
          <w:b/>
        </w:rPr>
        <w:tab/>
      </w:r>
      <w:r w:rsidRPr="00310B0D">
        <w:rPr>
          <w:rFonts w:ascii="Century Gothic" w:hAnsi="Century Gothic"/>
          <w:b/>
        </w:rPr>
        <w:tab/>
      </w:r>
      <w:r w:rsidRPr="00310B0D">
        <w:rPr>
          <w:rFonts w:ascii="Century Gothic" w:hAnsi="Century Gothic"/>
          <w:b/>
        </w:rPr>
        <w:tab/>
      </w:r>
      <w:r w:rsidRPr="00310B0D">
        <w:rPr>
          <w:rFonts w:ascii="Century Gothic" w:hAnsi="Century Gothic"/>
          <w:b/>
        </w:rPr>
        <w:tab/>
      </w:r>
      <w:r w:rsidRPr="00310B0D">
        <w:rPr>
          <w:rFonts w:ascii="Century Gothic" w:hAnsi="Century Gothic"/>
          <w:b/>
        </w:rPr>
        <w:tab/>
      </w:r>
      <w:r w:rsidRPr="00310B0D">
        <w:rPr>
          <w:rFonts w:ascii="Century Gothic" w:hAnsi="Century Gothic"/>
          <w:b/>
        </w:rPr>
        <w:tab/>
      </w:r>
      <w:r w:rsidRPr="00310B0D">
        <w:rPr>
          <w:rFonts w:ascii="Century Gothic" w:hAnsi="Century Gothic"/>
          <w:b/>
        </w:rPr>
        <w:tab/>
        <w:t>stečajni upravitelj Stanko Makar</w:t>
      </w:r>
    </w:p>
    <w:p w:rsidR="007D2B16" w:rsidRPr="00310B0D" w:rsidRDefault="007D2B16" w:rsidP="00946A87">
      <w:pPr>
        <w:pStyle w:val="Odlomakpopisa"/>
        <w:rPr>
          <w:rFonts w:ascii="Century Gothic" w:hAnsi="Century Gothic"/>
          <w:b/>
        </w:rPr>
      </w:pPr>
    </w:p>
    <w:sectPr w:rsidR="007D2B16" w:rsidRPr="00310B0D" w:rsidSect="00AE40A1">
      <w:headerReference w:type="default" r:id="rId9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00EB" w:rsidRDefault="009600EB" w:rsidP="00AE40A1">
      <w:pPr>
        <w:spacing w:after="0" w:line="240" w:lineRule="auto"/>
      </w:pPr>
      <w:r>
        <w:separator/>
      </w:r>
    </w:p>
  </w:endnote>
  <w:endnote w:type="continuationSeparator" w:id="0">
    <w:p w:rsidR="009600EB" w:rsidRDefault="009600EB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00EB" w:rsidRDefault="009600EB" w:rsidP="00AE40A1">
      <w:pPr>
        <w:spacing w:after="0" w:line="240" w:lineRule="auto"/>
      </w:pPr>
      <w:r>
        <w:separator/>
      </w:r>
    </w:p>
  </w:footnote>
  <w:footnote w:type="continuationSeparator" w:id="0">
    <w:p w:rsidR="009600EB" w:rsidRDefault="009600EB" w:rsidP="00AE4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B16" w:rsidRPr="008301A7" w:rsidRDefault="007D2B16" w:rsidP="007D2B16">
    <w:pPr>
      <w:widowControl w:val="0"/>
      <w:suppressAutoHyphens/>
      <w:autoSpaceDN w:val="0"/>
      <w:spacing w:after="0" w:line="288" w:lineRule="auto"/>
      <w:jc w:val="both"/>
      <w:textAlignment w:val="baseline"/>
      <w:rPr>
        <w:rFonts w:ascii="Century Gothic" w:eastAsia="SimSun" w:hAnsi="Century Gothic" w:cs="Tahoma"/>
        <w:b/>
        <w:kern w:val="3"/>
        <w:lang w:val="pl-PL" w:eastAsia="zh-CN" w:bidi="hi-I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471EE"/>
    <w:multiLevelType w:val="hybridMultilevel"/>
    <w:tmpl w:val="1FB00E0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963A1A"/>
    <w:multiLevelType w:val="hybridMultilevel"/>
    <w:tmpl w:val="585AEE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1A2BA4"/>
    <w:multiLevelType w:val="hybridMultilevel"/>
    <w:tmpl w:val="C868E99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823B96"/>
    <w:multiLevelType w:val="hybridMultilevel"/>
    <w:tmpl w:val="C67AE94E"/>
    <w:lvl w:ilvl="0" w:tplc="9196C01E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093BEF"/>
    <w:multiLevelType w:val="hybridMultilevel"/>
    <w:tmpl w:val="079C50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677815"/>
    <w:multiLevelType w:val="hybridMultilevel"/>
    <w:tmpl w:val="1DEAF1EA"/>
    <w:lvl w:ilvl="0" w:tplc="041A000F">
      <w:start w:val="1"/>
      <w:numFmt w:val="decimal"/>
      <w:lvlText w:val="%1."/>
      <w:lvlJc w:val="left"/>
      <w:pPr>
        <w:ind w:left="895" w:hanging="360"/>
      </w:pPr>
    </w:lvl>
    <w:lvl w:ilvl="1" w:tplc="041A0019" w:tentative="1">
      <w:start w:val="1"/>
      <w:numFmt w:val="lowerLetter"/>
      <w:lvlText w:val="%2."/>
      <w:lvlJc w:val="left"/>
      <w:pPr>
        <w:ind w:left="1615" w:hanging="360"/>
      </w:pPr>
    </w:lvl>
    <w:lvl w:ilvl="2" w:tplc="041A001B" w:tentative="1">
      <w:start w:val="1"/>
      <w:numFmt w:val="lowerRoman"/>
      <w:lvlText w:val="%3."/>
      <w:lvlJc w:val="right"/>
      <w:pPr>
        <w:ind w:left="2335" w:hanging="180"/>
      </w:pPr>
    </w:lvl>
    <w:lvl w:ilvl="3" w:tplc="041A000F" w:tentative="1">
      <w:start w:val="1"/>
      <w:numFmt w:val="decimal"/>
      <w:lvlText w:val="%4."/>
      <w:lvlJc w:val="left"/>
      <w:pPr>
        <w:ind w:left="3055" w:hanging="360"/>
      </w:pPr>
    </w:lvl>
    <w:lvl w:ilvl="4" w:tplc="041A0019" w:tentative="1">
      <w:start w:val="1"/>
      <w:numFmt w:val="lowerLetter"/>
      <w:lvlText w:val="%5."/>
      <w:lvlJc w:val="left"/>
      <w:pPr>
        <w:ind w:left="3775" w:hanging="360"/>
      </w:pPr>
    </w:lvl>
    <w:lvl w:ilvl="5" w:tplc="041A001B" w:tentative="1">
      <w:start w:val="1"/>
      <w:numFmt w:val="lowerRoman"/>
      <w:lvlText w:val="%6."/>
      <w:lvlJc w:val="right"/>
      <w:pPr>
        <w:ind w:left="4495" w:hanging="180"/>
      </w:pPr>
    </w:lvl>
    <w:lvl w:ilvl="6" w:tplc="041A000F" w:tentative="1">
      <w:start w:val="1"/>
      <w:numFmt w:val="decimal"/>
      <w:lvlText w:val="%7."/>
      <w:lvlJc w:val="left"/>
      <w:pPr>
        <w:ind w:left="5215" w:hanging="360"/>
      </w:pPr>
    </w:lvl>
    <w:lvl w:ilvl="7" w:tplc="041A0019" w:tentative="1">
      <w:start w:val="1"/>
      <w:numFmt w:val="lowerLetter"/>
      <w:lvlText w:val="%8."/>
      <w:lvlJc w:val="left"/>
      <w:pPr>
        <w:ind w:left="5935" w:hanging="360"/>
      </w:pPr>
    </w:lvl>
    <w:lvl w:ilvl="8" w:tplc="041A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7">
    <w:nsid w:val="27593B66"/>
    <w:multiLevelType w:val="hybridMultilevel"/>
    <w:tmpl w:val="1078409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CB2A77"/>
    <w:multiLevelType w:val="hybridMultilevel"/>
    <w:tmpl w:val="EA30C7D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89508E"/>
    <w:multiLevelType w:val="hybridMultilevel"/>
    <w:tmpl w:val="C08650FC"/>
    <w:lvl w:ilvl="0" w:tplc="04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52972333"/>
    <w:multiLevelType w:val="hybridMultilevel"/>
    <w:tmpl w:val="4116612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5961066"/>
    <w:multiLevelType w:val="hybridMultilevel"/>
    <w:tmpl w:val="80CC6F80"/>
    <w:lvl w:ilvl="0" w:tplc="5FE076B2">
      <w:numFmt w:val="bullet"/>
      <w:lvlText w:val="-"/>
      <w:lvlJc w:val="left"/>
      <w:pPr>
        <w:ind w:left="555" w:hanging="360"/>
      </w:pPr>
      <w:rPr>
        <w:rFonts w:ascii="Century Gothic" w:eastAsia="Times New Roman" w:hAnsi="Century Gothic" w:cs="Arial" w:hint="default"/>
      </w:rPr>
    </w:lvl>
    <w:lvl w:ilvl="1" w:tplc="041A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12">
    <w:nsid w:val="60876F9A"/>
    <w:multiLevelType w:val="hybridMultilevel"/>
    <w:tmpl w:val="92F420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A444FB"/>
    <w:multiLevelType w:val="hybridMultilevel"/>
    <w:tmpl w:val="02BAF3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2" w:tplc="9EC2EAEA">
      <w:start w:val="4"/>
      <w:numFmt w:val="bullet"/>
      <w:lvlText w:val="-"/>
      <w:lvlJc w:val="left"/>
      <w:pPr>
        <w:ind w:left="2160" w:hanging="360"/>
      </w:pPr>
      <w:rPr>
        <w:rFonts w:ascii="Century Gothic" w:eastAsiaTheme="minorHAnsi" w:hAnsi="Century Gothic" w:cs="Arial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01202F"/>
    <w:multiLevelType w:val="hybridMultilevel"/>
    <w:tmpl w:val="4DCCEE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2D498B"/>
    <w:multiLevelType w:val="hybridMultilevel"/>
    <w:tmpl w:val="4320B3D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C4676A8"/>
    <w:multiLevelType w:val="hybridMultilevel"/>
    <w:tmpl w:val="A3EC238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6379BF"/>
    <w:multiLevelType w:val="hybridMultilevel"/>
    <w:tmpl w:val="5232C5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F7212F"/>
    <w:multiLevelType w:val="hybridMultilevel"/>
    <w:tmpl w:val="9BB61F5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A36DD5"/>
    <w:multiLevelType w:val="hybridMultilevel"/>
    <w:tmpl w:val="C22A636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166C7E"/>
    <w:multiLevelType w:val="hybridMultilevel"/>
    <w:tmpl w:val="EE98D9BE"/>
    <w:lvl w:ilvl="0" w:tplc="041A000F">
      <w:start w:val="1"/>
      <w:numFmt w:val="decimal"/>
      <w:lvlText w:val="%1."/>
      <w:lvlJc w:val="left"/>
      <w:pPr>
        <w:ind w:left="895" w:hanging="360"/>
      </w:pPr>
    </w:lvl>
    <w:lvl w:ilvl="1" w:tplc="041A0019" w:tentative="1">
      <w:start w:val="1"/>
      <w:numFmt w:val="lowerLetter"/>
      <w:lvlText w:val="%2."/>
      <w:lvlJc w:val="left"/>
      <w:pPr>
        <w:ind w:left="1615" w:hanging="360"/>
      </w:pPr>
    </w:lvl>
    <w:lvl w:ilvl="2" w:tplc="041A001B" w:tentative="1">
      <w:start w:val="1"/>
      <w:numFmt w:val="lowerRoman"/>
      <w:lvlText w:val="%3."/>
      <w:lvlJc w:val="right"/>
      <w:pPr>
        <w:ind w:left="2335" w:hanging="180"/>
      </w:pPr>
    </w:lvl>
    <w:lvl w:ilvl="3" w:tplc="041A000F" w:tentative="1">
      <w:start w:val="1"/>
      <w:numFmt w:val="decimal"/>
      <w:lvlText w:val="%4."/>
      <w:lvlJc w:val="left"/>
      <w:pPr>
        <w:ind w:left="3055" w:hanging="360"/>
      </w:pPr>
    </w:lvl>
    <w:lvl w:ilvl="4" w:tplc="041A0019" w:tentative="1">
      <w:start w:val="1"/>
      <w:numFmt w:val="lowerLetter"/>
      <w:lvlText w:val="%5."/>
      <w:lvlJc w:val="left"/>
      <w:pPr>
        <w:ind w:left="3775" w:hanging="360"/>
      </w:pPr>
    </w:lvl>
    <w:lvl w:ilvl="5" w:tplc="041A001B" w:tentative="1">
      <w:start w:val="1"/>
      <w:numFmt w:val="lowerRoman"/>
      <w:lvlText w:val="%6."/>
      <w:lvlJc w:val="right"/>
      <w:pPr>
        <w:ind w:left="4495" w:hanging="180"/>
      </w:pPr>
    </w:lvl>
    <w:lvl w:ilvl="6" w:tplc="041A000F" w:tentative="1">
      <w:start w:val="1"/>
      <w:numFmt w:val="decimal"/>
      <w:lvlText w:val="%7."/>
      <w:lvlJc w:val="left"/>
      <w:pPr>
        <w:ind w:left="5215" w:hanging="360"/>
      </w:pPr>
    </w:lvl>
    <w:lvl w:ilvl="7" w:tplc="041A0019" w:tentative="1">
      <w:start w:val="1"/>
      <w:numFmt w:val="lowerLetter"/>
      <w:lvlText w:val="%8."/>
      <w:lvlJc w:val="left"/>
      <w:pPr>
        <w:ind w:left="5935" w:hanging="360"/>
      </w:pPr>
    </w:lvl>
    <w:lvl w:ilvl="8" w:tplc="041A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21">
    <w:nsid w:val="7E804A4D"/>
    <w:multiLevelType w:val="hybridMultilevel"/>
    <w:tmpl w:val="584E28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1"/>
  </w:num>
  <w:num w:numId="4">
    <w:abstractNumId w:val="15"/>
  </w:num>
  <w:num w:numId="5">
    <w:abstractNumId w:val="2"/>
  </w:num>
  <w:num w:numId="6">
    <w:abstractNumId w:val="4"/>
  </w:num>
  <w:num w:numId="7">
    <w:abstractNumId w:val="19"/>
  </w:num>
  <w:num w:numId="8">
    <w:abstractNumId w:val="5"/>
  </w:num>
  <w:num w:numId="9">
    <w:abstractNumId w:val="10"/>
  </w:num>
  <w:num w:numId="10">
    <w:abstractNumId w:val="16"/>
  </w:num>
  <w:num w:numId="11">
    <w:abstractNumId w:val="9"/>
  </w:num>
  <w:num w:numId="12">
    <w:abstractNumId w:val="1"/>
  </w:num>
  <w:num w:numId="13">
    <w:abstractNumId w:val="12"/>
  </w:num>
  <w:num w:numId="14">
    <w:abstractNumId w:val="17"/>
  </w:num>
  <w:num w:numId="15">
    <w:abstractNumId w:val="8"/>
  </w:num>
  <w:num w:numId="16">
    <w:abstractNumId w:val="20"/>
  </w:num>
  <w:num w:numId="17">
    <w:abstractNumId w:val="6"/>
  </w:num>
  <w:num w:numId="18">
    <w:abstractNumId w:val="13"/>
  </w:num>
  <w:num w:numId="19">
    <w:abstractNumId w:val="21"/>
  </w:num>
  <w:num w:numId="20">
    <w:abstractNumId w:val="7"/>
  </w:num>
  <w:num w:numId="21">
    <w:abstractNumId w:val="18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0A1"/>
    <w:rsid w:val="00103910"/>
    <w:rsid w:val="001752E6"/>
    <w:rsid w:val="00186BD9"/>
    <w:rsid w:val="001B3AA1"/>
    <w:rsid w:val="001E7F34"/>
    <w:rsid w:val="002107D2"/>
    <w:rsid w:val="002553B9"/>
    <w:rsid w:val="00290F3E"/>
    <w:rsid w:val="002E2D3D"/>
    <w:rsid w:val="002F169C"/>
    <w:rsid w:val="00303BE8"/>
    <w:rsid w:val="00310B0D"/>
    <w:rsid w:val="00321573"/>
    <w:rsid w:val="003C2BB0"/>
    <w:rsid w:val="003D1247"/>
    <w:rsid w:val="00416891"/>
    <w:rsid w:val="00470C75"/>
    <w:rsid w:val="00483736"/>
    <w:rsid w:val="004A798B"/>
    <w:rsid w:val="00631177"/>
    <w:rsid w:val="006944A7"/>
    <w:rsid w:val="006B081D"/>
    <w:rsid w:val="006C1BA4"/>
    <w:rsid w:val="006E6112"/>
    <w:rsid w:val="00716604"/>
    <w:rsid w:val="007D2B16"/>
    <w:rsid w:val="007E60D8"/>
    <w:rsid w:val="008301A7"/>
    <w:rsid w:val="00846133"/>
    <w:rsid w:val="008A6085"/>
    <w:rsid w:val="008D2FEA"/>
    <w:rsid w:val="0094060B"/>
    <w:rsid w:val="00946A87"/>
    <w:rsid w:val="009600EB"/>
    <w:rsid w:val="009E1F69"/>
    <w:rsid w:val="00A30E7E"/>
    <w:rsid w:val="00A97187"/>
    <w:rsid w:val="00AA698A"/>
    <w:rsid w:val="00AE40A1"/>
    <w:rsid w:val="00B24B09"/>
    <w:rsid w:val="00BB507F"/>
    <w:rsid w:val="00BC4A59"/>
    <w:rsid w:val="00BE3E13"/>
    <w:rsid w:val="00C76F75"/>
    <w:rsid w:val="00E144F6"/>
    <w:rsid w:val="00E5367B"/>
    <w:rsid w:val="00E74D7A"/>
    <w:rsid w:val="00E908EC"/>
    <w:rsid w:val="00EA400E"/>
    <w:rsid w:val="00ED21BE"/>
    <w:rsid w:val="00ED5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Odlomakpopisa">
    <w:name w:val="List Paragraph"/>
    <w:basedOn w:val="Normal"/>
    <w:uiPriority w:val="34"/>
    <w:qFormat/>
    <w:rsid w:val="0094060B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D21B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Odlomakpopisa">
    <w:name w:val="List Paragraph"/>
    <w:basedOn w:val="Normal"/>
    <w:uiPriority w:val="34"/>
    <w:qFormat/>
    <w:rsid w:val="0094060B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D21B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057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2B46C-2995-42FC-BF3E-5DBF3BFD1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Ljubica Makovec</cp:lastModifiedBy>
  <cp:revision>2</cp:revision>
  <cp:lastPrinted>2018-04-05T14:14:00Z</cp:lastPrinted>
  <dcterms:created xsi:type="dcterms:W3CDTF">2018-04-10T11:09:00Z</dcterms:created>
  <dcterms:modified xsi:type="dcterms:W3CDTF">2018-04-10T11:09:00Z</dcterms:modified>
</cp:coreProperties>
</file>